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C3C71" w14:textId="145040D6" w:rsidR="00820A95" w:rsidRPr="00842141" w:rsidRDefault="00113A73" w:rsidP="001D39FE">
      <w:pPr>
        <w:pStyle w:val="1"/>
        <w:spacing w:before="0" w:after="0"/>
        <w:jc w:val="center"/>
        <w:rPr>
          <w:b w:val="0"/>
          <w:bCs w:val="0"/>
          <w:sz w:val="32"/>
          <w:szCs w:val="32"/>
          <w:lang w:val="uk-UA"/>
        </w:rPr>
      </w:pPr>
      <w:r w:rsidRPr="00842141">
        <w:rPr>
          <w:sz w:val="32"/>
          <w:szCs w:val="32"/>
          <w:lang w:val="uk-UA"/>
        </w:rPr>
        <w:t>ПОЛІМЕТИНОВІ БАРВНИКИ</w:t>
      </w:r>
      <w:r w:rsidR="001805BF" w:rsidRPr="00842141">
        <w:rPr>
          <w:sz w:val="32"/>
          <w:szCs w:val="32"/>
          <w:lang w:val="uk-UA"/>
        </w:rPr>
        <w:t xml:space="preserve"> </w:t>
      </w:r>
      <w:r w:rsidRPr="00842141">
        <w:rPr>
          <w:sz w:val="32"/>
          <w:szCs w:val="32"/>
          <w:lang w:val="uk-UA"/>
        </w:rPr>
        <w:t>З</w:t>
      </w:r>
      <w:r w:rsidR="001805BF" w:rsidRPr="00842141">
        <w:rPr>
          <w:sz w:val="32"/>
          <w:szCs w:val="32"/>
          <w:lang w:val="uk-UA"/>
        </w:rPr>
        <w:t xml:space="preserve"> </w:t>
      </w:r>
      <w:r w:rsidRPr="00842141">
        <w:rPr>
          <w:sz w:val="32"/>
          <w:szCs w:val="32"/>
          <w:lang w:val="uk-UA"/>
        </w:rPr>
        <w:t xml:space="preserve">МІСТКОВИМИ ЕТИЛЕНОВИМИ ГРУПАМИ </w:t>
      </w:r>
      <w:r w:rsidR="00E00448" w:rsidRPr="0001063C">
        <w:rPr>
          <w:sz w:val="32"/>
          <w:szCs w:val="32"/>
          <w:lang w:val="uk-UA"/>
        </w:rPr>
        <w:t>В</w:t>
      </w:r>
      <w:r w:rsidRPr="00842141">
        <w:rPr>
          <w:sz w:val="32"/>
          <w:szCs w:val="32"/>
          <w:lang w:val="uk-UA"/>
        </w:rPr>
        <w:t xml:space="preserve"> ПІРАНОВОМУ ЗАЛИШКУ</w:t>
      </w:r>
    </w:p>
    <w:p w14:paraId="659789CC" w14:textId="77777777" w:rsidR="00820A95" w:rsidRPr="00EB40CE" w:rsidRDefault="00820A95" w:rsidP="00820A95">
      <w:pPr>
        <w:jc w:val="center"/>
        <w:rPr>
          <w:sz w:val="24"/>
          <w:lang w:val="uk-UA"/>
        </w:rPr>
      </w:pPr>
    </w:p>
    <w:p w14:paraId="42D5A5D4" w14:textId="36B6F207" w:rsidR="00EB40CE" w:rsidRPr="00A41EA2" w:rsidRDefault="00EB40CE" w:rsidP="00EB40CE">
      <w:pPr>
        <w:pStyle w:val="Authors"/>
        <w:rPr>
          <w:sz w:val="24"/>
          <w:szCs w:val="24"/>
        </w:rPr>
      </w:pPr>
      <w:r w:rsidRPr="00A41EA2">
        <w:rPr>
          <w:sz w:val="24"/>
          <w:szCs w:val="24"/>
          <w:u w:val="single"/>
        </w:rPr>
        <w:t>Бабій І.С.</w:t>
      </w:r>
      <w:r w:rsidRPr="00A41EA2">
        <w:rPr>
          <w:sz w:val="24"/>
          <w:szCs w:val="24"/>
          <w:vertAlign w:val="superscript"/>
        </w:rPr>
        <w:t>1</w:t>
      </w:r>
      <w:r w:rsidRPr="00A41EA2">
        <w:rPr>
          <w:sz w:val="24"/>
          <w:szCs w:val="24"/>
        </w:rPr>
        <w:t xml:space="preserve">, </w:t>
      </w:r>
      <w:r w:rsidR="00A41EA2" w:rsidRPr="00A41EA2">
        <w:rPr>
          <w:sz w:val="24"/>
          <w:szCs w:val="24"/>
        </w:rPr>
        <w:t>Кулініч А.В.</w:t>
      </w:r>
      <w:r w:rsidR="00A41EA2" w:rsidRPr="00A41EA2">
        <w:rPr>
          <w:sz w:val="24"/>
          <w:szCs w:val="24"/>
          <w:vertAlign w:val="superscript"/>
        </w:rPr>
        <w:t>2</w:t>
      </w:r>
      <w:r w:rsidR="00A41EA2" w:rsidRPr="00A41EA2">
        <w:rPr>
          <w:sz w:val="24"/>
          <w:szCs w:val="24"/>
        </w:rPr>
        <w:t>, Іщенко В.В.</w:t>
      </w:r>
      <w:r w:rsidR="00A41EA2" w:rsidRPr="00A41EA2">
        <w:rPr>
          <w:sz w:val="24"/>
          <w:szCs w:val="24"/>
          <w:vertAlign w:val="superscript"/>
        </w:rPr>
        <w:t>1</w:t>
      </w:r>
    </w:p>
    <w:p w14:paraId="19479195" w14:textId="7D74E28B" w:rsidR="00EB40CE" w:rsidRPr="00E00448" w:rsidRDefault="00EB40CE" w:rsidP="00442D04">
      <w:pPr>
        <w:jc w:val="center"/>
        <w:rPr>
          <w:iCs/>
          <w:sz w:val="24"/>
        </w:rPr>
      </w:pPr>
      <w:r w:rsidRPr="00E00448">
        <w:rPr>
          <w:iCs/>
          <w:sz w:val="24"/>
          <w:vertAlign w:val="superscript"/>
          <w:lang w:val="uk-UA"/>
        </w:rPr>
        <w:t>1</w:t>
      </w:r>
      <w:r w:rsidR="00A41EA2" w:rsidRPr="00E00448">
        <w:rPr>
          <w:iCs/>
          <w:sz w:val="24"/>
          <w:lang w:val="uk-UA"/>
        </w:rPr>
        <w:t xml:space="preserve"> </w:t>
      </w:r>
      <w:r w:rsidRPr="00E00448">
        <w:rPr>
          <w:iCs/>
          <w:sz w:val="24"/>
          <w:lang w:val="uk-UA" w:eastAsia="ru-RU"/>
        </w:rPr>
        <w:t>Київський національний університет імені Тараса Шевченка</w:t>
      </w:r>
      <w:r w:rsidR="00E00448">
        <w:rPr>
          <w:iCs/>
          <w:sz w:val="24"/>
          <w:lang w:val="uk-UA" w:eastAsia="ru-RU"/>
        </w:rPr>
        <w:br/>
      </w:r>
      <w:r w:rsidRPr="00E00448">
        <w:rPr>
          <w:iCs/>
          <w:sz w:val="24"/>
          <w:lang w:val="uk-UA" w:eastAsia="ru-RU"/>
        </w:rPr>
        <w:t>01601, Київ, вул.</w:t>
      </w:r>
      <w:r w:rsidR="00E00448" w:rsidRPr="00E00448">
        <w:rPr>
          <w:iCs/>
          <w:sz w:val="24"/>
          <w:lang w:val="uk-UA" w:eastAsia="ru-RU"/>
        </w:rPr>
        <w:t> </w:t>
      </w:r>
      <w:r w:rsidRPr="00E00448">
        <w:rPr>
          <w:iCs/>
          <w:sz w:val="24"/>
          <w:lang w:val="uk-UA" w:eastAsia="ru-RU"/>
        </w:rPr>
        <w:t>Володимирська, 64</w:t>
      </w:r>
      <w:r w:rsidR="00E00448">
        <w:rPr>
          <w:iCs/>
          <w:sz w:val="24"/>
          <w:lang w:val="uk-UA" w:eastAsia="ru-RU"/>
        </w:rPr>
        <w:t>/13</w:t>
      </w:r>
      <w:r w:rsidRPr="00E00448">
        <w:rPr>
          <w:iCs/>
          <w:sz w:val="24"/>
          <w:lang w:val="ru-RU" w:eastAsia="ru-RU"/>
        </w:rPr>
        <w:t>;</w:t>
      </w:r>
      <w:r w:rsidR="00442D04" w:rsidRPr="00E00448">
        <w:rPr>
          <w:iCs/>
          <w:sz w:val="24"/>
          <w:lang w:val="ru-RU" w:eastAsia="ru-RU"/>
        </w:rPr>
        <w:t xml:space="preserve"> </w:t>
      </w:r>
      <w:hyperlink r:id="rId7" w:history="1">
        <w:r w:rsidR="00E00448" w:rsidRPr="00E00448">
          <w:rPr>
            <w:rStyle w:val="a3"/>
            <w:iCs/>
            <w:sz w:val="24"/>
          </w:rPr>
          <w:t>babiyigor2004@knu.ua</w:t>
        </w:r>
      </w:hyperlink>
    </w:p>
    <w:p w14:paraId="07F1B250" w14:textId="0823FC90" w:rsidR="00EB40CE" w:rsidRPr="00E00448" w:rsidRDefault="00EB40CE" w:rsidP="00A41EA2">
      <w:pPr>
        <w:jc w:val="center"/>
        <w:rPr>
          <w:iCs/>
          <w:sz w:val="24"/>
        </w:rPr>
      </w:pPr>
      <w:r w:rsidRPr="00E00448">
        <w:rPr>
          <w:iCs/>
          <w:sz w:val="24"/>
          <w:vertAlign w:val="superscript"/>
          <w:lang w:val="ru-RU"/>
        </w:rPr>
        <w:t>2</w:t>
      </w:r>
      <w:r w:rsidRPr="00E00448">
        <w:rPr>
          <w:iCs/>
          <w:sz w:val="24"/>
          <w:lang w:val="ru-RU"/>
        </w:rPr>
        <w:t xml:space="preserve"> </w:t>
      </w:r>
      <w:r w:rsidR="00A41EA2" w:rsidRPr="00E00448">
        <w:rPr>
          <w:iCs/>
          <w:sz w:val="24"/>
          <w:lang w:val="uk-UA"/>
        </w:rPr>
        <w:t>Інститут органічної хімії НАН України, 02094, Київ, вул. Академіка Кухаря, 5</w:t>
      </w:r>
    </w:p>
    <w:p w14:paraId="1DC390E7" w14:textId="77777777" w:rsidR="00090EB3" w:rsidRDefault="00090EB3" w:rsidP="00090EB3">
      <w:pPr>
        <w:jc w:val="left"/>
        <w:rPr>
          <w:sz w:val="24"/>
          <w:lang w:val="uk-UA"/>
        </w:rPr>
      </w:pPr>
    </w:p>
    <w:p w14:paraId="363BF72B" w14:textId="035C3012" w:rsidR="00090EB3" w:rsidRDefault="007B0234" w:rsidP="00257D62">
      <w:pPr>
        <w:rPr>
          <w:sz w:val="24"/>
          <w:lang w:val="uk-UA"/>
        </w:rPr>
      </w:pPr>
      <w:r>
        <w:rPr>
          <w:sz w:val="24"/>
          <w:lang w:val="uk-UA"/>
        </w:rPr>
        <w:t xml:space="preserve">Залишок </w:t>
      </w:r>
      <w:proofErr w:type="spellStart"/>
      <w:r>
        <w:rPr>
          <w:sz w:val="24"/>
          <w:lang w:val="uk-UA"/>
        </w:rPr>
        <w:t>п</w:t>
      </w:r>
      <w:r w:rsidR="0048757B">
        <w:rPr>
          <w:sz w:val="24"/>
          <w:lang w:val="uk-UA"/>
        </w:rPr>
        <w:t>ір</w:t>
      </w:r>
      <w:r>
        <w:rPr>
          <w:sz w:val="24"/>
          <w:lang w:val="uk-UA"/>
        </w:rPr>
        <w:t>ану</w:t>
      </w:r>
      <w:proofErr w:type="spellEnd"/>
      <w:r w:rsidR="00257D62">
        <w:rPr>
          <w:sz w:val="24"/>
          <w:lang w:val="uk-UA"/>
        </w:rPr>
        <w:t xml:space="preserve"> </w:t>
      </w:r>
      <w:r>
        <w:rPr>
          <w:sz w:val="24"/>
          <w:lang w:val="uk-UA"/>
        </w:rPr>
        <w:t>як кінцева група поліметинових</w:t>
      </w:r>
      <w:r w:rsidR="0048757B">
        <w:rPr>
          <w:sz w:val="24"/>
          <w:lang w:val="uk-UA"/>
        </w:rPr>
        <w:t xml:space="preserve"> барвн</w:t>
      </w:r>
      <w:r w:rsidR="00FC4EF5">
        <w:rPr>
          <w:sz w:val="24"/>
          <w:lang w:val="uk-UA"/>
        </w:rPr>
        <w:t>ик</w:t>
      </w:r>
      <w:r>
        <w:rPr>
          <w:sz w:val="24"/>
          <w:lang w:val="uk-UA"/>
        </w:rPr>
        <w:t xml:space="preserve">ів приваблює дослідників своєю значною «ефективною довжиною», тобто здатністю зміщувати їхні спектральні смуги в більш довгохвильову ділянку спектра, важливу для нелінійної оптики і </w:t>
      </w:r>
      <w:proofErr w:type="spellStart"/>
      <w:r>
        <w:rPr>
          <w:sz w:val="24"/>
          <w:lang w:val="uk-UA"/>
        </w:rPr>
        <w:t>сенсорики</w:t>
      </w:r>
      <w:proofErr w:type="spellEnd"/>
      <w:r>
        <w:rPr>
          <w:sz w:val="24"/>
          <w:lang w:val="uk-UA"/>
        </w:rPr>
        <w:t>. При цьому похідні на основі 4</w:t>
      </w:r>
      <w:r w:rsidRPr="007B0234">
        <w:rPr>
          <w:i/>
          <w:iCs/>
          <w:sz w:val="24"/>
          <w:lang w:val="en-US"/>
        </w:rPr>
        <w:t>H</w:t>
      </w:r>
      <w:r>
        <w:rPr>
          <w:sz w:val="24"/>
          <w:lang w:val="ru-RU"/>
        </w:rPr>
        <w:t>-</w:t>
      </w:r>
      <w:proofErr w:type="spellStart"/>
      <w:r w:rsidRPr="007B0234">
        <w:rPr>
          <w:sz w:val="24"/>
          <w:lang w:val="uk-UA"/>
        </w:rPr>
        <w:t>пірану</w:t>
      </w:r>
      <w:proofErr w:type="spellEnd"/>
      <w:r>
        <w:rPr>
          <w:sz w:val="24"/>
          <w:lang w:val="uk-UA"/>
        </w:rPr>
        <w:t xml:space="preserve"> </w:t>
      </w:r>
      <w:r w:rsidR="00E00448">
        <w:rPr>
          <w:sz w:val="24"/>
          <w:lang w:val="uk-UA"/>
        </w:rPr>
        <w:t>можуть мати</w:t>
      </w:r>
      <w:r>
        <w:rPr>
          <w:sz w:val="24"/>
          <w:lang w:val="uk-UA"/>
        </w:rPr>
        <w:t xml:space="preserve"> значну флуоресцентну здатність, достатню для застосування їх як</w:t>
      </w:r>
      <w:r w:rsidR="00257D62">
        <w:rPr>
          <w:sz w:val="24"/>
          <w:lang w:val="uk-UA"/>
        </w:rPr>
        <w:t xml:space="preserve"> </w:t>
      </w:r>
      <w:r>
        <w:rPr>
          <w:sz w:val="24"/>
          <w:lang w:val="en-US"/>
        </w:rPr>
        <w:t>NIR</w:t>
      </w:r>
      <w:r>
        <w:rPr>
          <w:sz w:val="24"/>
          <w:lang w:val="uk-UA"/>
        </w:rPr>
        <w:t xml:space="preserve"> </w:t>
      </w:r>
      <w:proofErr w:type="spellStart"/>
      <w:r>
        <w:rPr>
          <w:sz w:val="24"/>
          <w:lang w:val="uk-UA"/>
        </w:rPr>
        <w:t>флуорофорів</w:t>
      </w:r>
      <w:proofErr w:type="spellEnd"/>
      <w:r>
        <w:rPr>
          <w:sz w:val="24"/>
          <w:lang w:val="uk-UA"/>
        </w:rPr>
        <w:t xml:space="preserve"> для біомедичних досліджень. </w:t>
      </w:r>
      <w:r w:rsidR="0048757B">
        <w:rPr>
          <w:sz w:val="24"/>
          <w:lang w:val="uk-UA"/>
        </w:rPr>
        <w:t>Водночас</w:t>
      </w:r>
      <w:r>
        <w:rPr>
          <w:sz w:val="24"/>
          <w:lang w:val="uk-UA"/>
        </w:rPr>
        <w:t>,</w:t>
      </w:r>
      <w:r w:rsidR="0048757B">
        <w:rPr>
          <w:sz w:val="24"/>
          <w:lang w:val="uk-UA"/>
        </w:rPr>
        <w:t xml:space="preserve"> практичне застосування </w:t>
      </w:r>
      <w:proofErr w:type="spellStart"/>
      <w:r>
        <w:rPr>
          <w:sz w:val="24"/>
          <w:lang w:val="uk-UA"/>
        </w:rPr>
        <w:t>пірилієвих</w:t>
      </w:r>
      <w:proofErr w:type="spellEnd"/>
      <w:r>
        <w:rPr>
          <w:sz w:val="24"/>
          <w:lang w:val="uk-UA"/>
        </w:rPr>
        <w:t xml:space="preserve"> барвників </w:t>
      </w:r>
      <w:r w:rsidR="0048757B">
        <w:rPr>
          <w:sz w:val="24"/>
          <w:lang w:val="uk-UA"/>
        </w:rPr>
        <w:t xml:space="preserve">часто обмежене їхньою </w:t>
      </w:r>
      <w:r>
        <w:rPr>
          <w:sz w:val="24"/>
          <w:lang w:val="uk-UA"/>
        </w:rPr>
        <w:t xml:space="preserve">лабільністю в присутності </w:t>
      </w:r>
      <w:r w:rsidR="0048757B">
        <w:rPr>
          <w:sz w:val="24"/>
          <w:lang w:val="uk-UA"/>
        </w:rPr>
        <w:t xml:space="preserve">нуклеофілів </w:t>
      </w:r>
      <w:r w:rsidR="00257D62">
        <w:rPr>
          <w:sz w:val="24"/>
          <w:lang w:val="uk-UA"/>
        </w:rPr>
        <w:t>або</w:t>
      </w:r>
      <w:r w:rsidR="0048757B">
        <w:rPr>
          <w:sz w:val="24"/>
          <w:lang w:val="uk-UA"/>
        </w:rPr>
        <w:t xml:space="preserve"> в полярних апротонних розч</w:t>
      </w:r>
      <w:r w:rsidR="00113A73">
        <w:rPr>
          <w:sz w:val="24"/>
          <w:lang w:val="uk-UA"/>
        </w:rPr>
        <w:t>и</w:t>
      </w:r>
      <w:r w:rsidR="0048757B">
        <w:rPr>
          <w:sz w:val="24"/>
          <w:lang w:val="uk-UA"/>
        </w:rPr>
        <w:t>нниках.</w:t>
      </w:r>
    </w:p>
    <w:p w14:paraId="7876A825" w14:textId="7D71BC1A" w:rsidR="00FC4EF5" w:rsidRDefault="00FC4EF5" w:rsidP="00957CD1">
      <w:pPr>
        <w:rPr>
          <w:sz w:val="24"/>
          <w:lang w:val="uk-UA"/>
        </w:rPr>
      </w:pPr>
      <w:r>
        <w:rPr>
          <w:sz w:val="24"/>
          <w:lang w:val="uk-UA"/>
        </w:rPr>
        <w:t>Нещодавн</w:t>
      </w:r>
      <w:r w:rsidR="00113A73">
        <w:rPr>
          <w:sz w:val="24"/>
          <w:lang w:val="uk-UA"/>
        </w:rPr>
        <w:t>о</w:t>
      </w:r>
      <w:r>
        <w:rPr>
          <w:sz w:val="24"/>
          <w:lang w:val="uk-UA"/>
        </w:rPr>
        <w:t xml:space="preserve"> </w:t>
      </w:r>
      <w:r w:rsidR="00113A73">
        <w:rPr>
          <w:sz w:val="24"/>
          <w:lang w:val="uk-UA"/>
        </w:rPr>
        <w:t>в робот</w:t>
      </w:r>
      <w:r w:rsidR="00A879D9">
        <w:rPr>
          <w:sz w:val="24"/>
          <w:lang w:val="uk-UA"/>
        </w:rPr>
        <w:t>і</w:t>
      </w:r>
      <w:r w:rsidR="00E00448">
        <w:rPr>
          <w:sz w:val="24"/>
          <w:lang w:val="uk-UA"/>
        </w:rPr>
        <w:t xml:space="preserve"> </w:t>
      </w:r>
      <w:r w:rsidR="001D39FE">
        <w:rPr>
          <w:sz w:val="24"/>
          <w:lang w:val="en-US"/>
        </w:rPr>
        <w:t>[1]</w:t>
      </w:r>
      <w:r w:rsidR="00E00448">
        <w:rPr>
          <w:sz w:val="24"/>
          <w:lang w:val="uk-UA"/>
        </w:rPr>
        <w:t xml:space="preserve"> </w:t>
      </w:r>
      <w:r w:rsidR="00113A73">
        <w:rPr>
          <w:sz w:val="24"/>
          <w:lang w:val="uk-UA"/>
        </w:rPr>
        <w:t>б</w:t>
      </w:r>
      <w:r w:rsidR="00A879D9">
        <w:rPr>
          <w:sz w:val="24"/>
          <w:lang w:val="uk-UA"/>
        </w:rPr>
        <w:t>у</w:t>
      </w:r>
      <w:r w:rsidR="00113A73">
        <w:rPr>
          <w:sz w:val="24"/>
          <w:lang w:val="uk-UA"/>
        </w:rPr>
        <w:t xml:space="preserve">ло </w:t>
      </w:r>
      <w:r w:rsidR="00134278">
        <w:rPr>
          <w:sz w:val="24"/>
          <w:lang w:val="uk-UA"/>
        </w:rPr>
        <w:t>заявлено</w:t>
      </w:r>
      <w:r w:rsidR="00113A73">
        <w:rPr>
          <w:sz w:val="24"/>
          <w:lang w:val="uk-UA"/>
        </w:rPr>
        <w:t>, що введення</w:t>
      </w:r>
      <w:r>
        <w:rPr>
          <w:sz w:val="24"/>
          <w:lang w:val="uk-UA"/>
        </w:rPr>
        <w:t xml:space="preserve"> етиленови</w:t>
      </w:r>
      <w:r w:rsidR="00113A73">
        <w:rPr>
          <w:sz w:val="24"/>
          <w:lang w:val="uk-UA"/>
        </w:rPr>
        <w:t>х</w:t>
      </w:r>
      <w:r>
        <w:rPr>
          <w:sz w:val="24"/>
          <w:lang w:val="uk-UA"/>
        </w:rPr>
        <w:t xml:space="preserve"> містк</w:t>
      </w:r>
      <w:r w:rsidR="00113A73">
        <w:rPr>
          <w:sz w:val="24"/>
          <w:lang w:val="uk-UA"/>
        </w:rPr>
        <w:t>ів у</w:t>
      </w:r>
      <w:r>
        <w:rPr>
          <w:sz w:val="24"/>
          <w:lang w:val="uk-UA"/>
        </w:rPr>
        <w:t xml:space="preserve"> 2,6</w:t>
      </w:r>
      <w:r w:rsidR="00E317FD">
        <w:rPr>
          <w:sz w:val="24"/>
          <w:lang w:val="uk-UA"/>
        </w:rPr>
        <w:noBreakHyphen/>
      </w:r>
      <w:r>
        <w:rPr>
          <w:sz w:val="24"/>
          <w:lang w:val="uk-UA"/>
        </w:rPr>
        <w:t>дифенілпірилієв</w:t>
      </w:r>
      <w:r w:rsidR="00113A73">
        <w:rPr>
          <w:sz w:val="24"/>
          <w:lang w:val="uk-UA"/>
        </w:rPr>
        <w:t>і</w:t>
      </w:r>
      <w:r>
        <w:rPr>
          <w:sz w:val="24"/>
          <w:lang w:val="uk-UA"/>
        </w:rPr>
        <w:t xml:space="preserve"> сол</w:t>
      </w:r>
      <w:r w:rsidR="00113A73">
        <w:rPr>
          <w:sz w:val="24"/>
          <w:lang w:val="uk-UA"/>
        </w:rPr>
        <w:t>і значно підвищує їхню стабільність. Це</w:t>
      </w:r>
      <w:r>
        <w:rPr>
          <w:sz w:val="24"/>
          <w:lang w:val="uk-UA"/>
        </w:rPr>
        <w:t xml:space="preserve"> </w:t>
      </w:r>
      <w:r w:rsidR="00113A73">
        <w:rPr>
          <w:sz w:val="24"/>
          <w:lang w:val="uk-UA"/>
        </w:rPr>
        <w:t xml:space="preserve">повідомлення спонукало нас до </w:t>
      </w:r>
      <w:r>
        <w:rPr>
          <w:sz w:val="24"/>
          <w:lang w:val="uk-UA"/>
        </w:rPr>
        <w:t xml:space="preserve">синтезу </w:t>
      </w:r>
      <w:r w:rsidR="00113A73">
        <w:rPr>
          <w:sz w:val="24"/>
          <w:lang w:val="uk-UA"/>
        </w:rPr>
        <w:t>й дослідження аналогічних 4-метилзаміщених солей</w:t>
      </w:r>
      <w:r w:rsidR="000E413A">
        <w:rPr>
          <w:sz w:val="24"/>
          <w:lang w:val="uk-UA"/>
        </w:rPr>
        <w:t xml:space="preserve"> </w:t>
      </w:r>
      <w:r w:rsidR="000E413A">
        <w:rPr>
          <w:b/>
          <w:bCs/>
          <w:sz w:val="24"/>
          <w:lang w:val="uk-UA"/>
        </w:rPr>
        <w:t>2</w:t>
      </w:r>
      <w:r w:rsidR="00113A73">
        <w:rPr>
          <w:sz w:val="24"/>
          <w:lang w:val="uk-UA"/>
        </w:rPr>
        <w:t xml:space="preserve"> та </w:t>
      </w:r>
      <w:r w:rsidR="00134278">
        <w:rPr>
          <w:sz w:val="24"/>
          <w:lang w:val="uk-UA"/>
        </w:rPr>
        <w:t xml:space="preserve">відповідних </w:t>
      </w:r>
      <w:r w:rsidR="00113A73">
        <w:rPr>
          <w:sz w:val="24"/>
          <w:lang w:val="uk-UA"/>
        </w:rPr>
        <w:t>барвників на їх основі</w:t>
      </w:r>
      <w:r w:rsidR="00134278">
        <w:rPr>
          <w:sz w:val="24"/>
          <w:lang w:val="uk-UA"/>
        </w:rPr>
        <w:t>, зокрема</w:t>
      </w:r>
      <w:r w:rsidR="000E413A">
        <w:rPr>
          <w:sz w:val="24"/>
          <w:lang w:val="uk-UA"/>
        </w:rPr>
        <w:t xml:space="preserve"> </w:t>
      </w:r>
      <w:r w:rsidR="000E413A">
        <w:rPr>
          <w:b/>
          <w:bCs/>
          <w:sz w:val="24"/>
          <w:lang w:val="uk-UA"/>
        </w:rPr>
        <w:t>3</w:t>
      </w:r>
      <w:r w:rsidR="00257D62">
        <w:rPr>
          <w:sz w:val="24"/>
          <w:lang w:val="uk-UA"/>
        </w:rPr>
        <w:t>, які не були відомі раніше.</w:t>
      </w:r>
    </w:p>
    <w:p w14:paraId="372B31C2" w14:textId="33BC7BCB" w:rsidR="00113A73" w:rsidRDefault="00BF1E8D" w:rsidP="00E317FD">
      <w:pPr>
        <w:spacing w:before="60" w:after="60"/>
        <w:ind w:firstLine="0"/>
        <w:jc w:val="center"/>
        <w:rPr>
          <w:sz w:val="24"/>
          <w:lang w:val="uk-UA"/>
        </w:rPr>
      </w:pPr>
      <w:r w:rsidRPr="00113A73">
        <w:rPr>
          <w:sz w:val="24"/>
          <w:lang w:val="uk-UA"/>
        </w:rPr>
        <w:object w:dxaOrig="11693" w:dyaOrig="3103" w14:anchorId="7538A4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6pt;height:99.55pt" o:ole="">
            <v:imagedata r:id="rId8" o:title=""/>
          </v:shape>
          <o:OLEObject Type="Embed" ProgID="ChemDraw.Document.6.0" ShapeID="_x0000_i1025" DrawAspect="Content" ObjectID="_1838825965" r:id="rId9"/>
        </w:object>
      </w:r>
    </w:p>
    <w:p w14:paraId="72B51205" w14:textId="1AFBB9CA" w:rsidR="002A4227" w:rsidRDefault="00847E5A" w:rsidP="00957CD1">
      <w:pPr>
        <w:ind w:firstLine="708"/>
        <w:rPr>
          <w:sz w:val="24"/>
        </w:rPr>
      </w:pPr>
      <w:r>
        <w:rPr>
          <w:sz w:val="24"/>
          <w:lang w:val="uk-UA"/>
        </w:rPr>
        <w:t>Виявлено</w:t>
      </w:r>
      <w:r w:rsidR="00257D62">
        <w:rPr>
          <w:sz w:val="24"/>
          <w:lang w:val="uk-UA"/>
        </w:rPr>
        <w:t xml:space="preserve"> </w:t>
      </w:r>
      <w:r>
        <w:rPr>
          <w:sz w:val="24"/>
          <w:lang w:val="uk-UA"/>
        </w:rPr>
        <w:t xml:space="preserve">що </w:t>
      </w:r>
      <w:r w:rsidR="00134278">
        <w:rPr>
          <w:sz w:val="24"/>
          <w:lang w:val="uk-UA"/>
        </w:rPr>
        <w:t xml:space="preserve">стабільність </w:t>
      </w:r>
      <w:r>
        <w:rPr>
          <w:sz w:val="24"/>
          <w:lang w:val="uk-UA"/>
        </w:rPr>
        <w:t>синтезован</w:t>
      </w:r>
      <w:r w:rsidR="00134278">
        <w:rPr>
          <w:sz w:val="24"/>
          <w:lang w:val="uk-UA"/>
        </w:rPr>
        <w:t>их</w:t>
      </w:r>
      <w:r w:rsidR="00257D62">
        <w:rPr>
          <w:sz w:val="24"/>
          <w:lang w:val="uk-UA"/>
        </w:rPr>
        <w:t xml:space="preserve"> </w:t>
      </w:r>
      <w:r w:rsidRPr="00847E5A">
        <w:rPr>
          <w:sz w:val="24"/>
          <w:lang w:val="uk-UA"/>
        </w:rPr>
        <w:t>7-метилдибензо[</w:t>
      </w:r>
      <w:proofErr w:type="spellStart"/>
      <w:r w:rsidRPr="00847E5A">
        <w:rPr>
          <w:i/>
          <w:iCs/>
          <w:sz w:val="24"/>
          <w:lang w:val="uk-UA"/>
        </w:rPr>
        <w:t>c</w:t>
      </w:r>
      <w:r w:rsidRPr="00847E5A">
        <w:rPr>
          <w:sz w:val="24"/>
          <w:lang w:val="uk-UA"/>
        </w:rPr>
        <w:t>,</w:t>
      </w:r>
      <w:r w:rsidRPr="00847E5A">
        <w:rPr>
          <w:i/>
          <w:iCs/>
          <w:sz w:val="24"/>
          <w:lang w:val="uk-UA"/>
        </w:rPr>
        <w:t>h</w:t>
      </w:r>
      <w:proofErr w:type="spellEnd"/>
      <w:r w:rsidRPr="00847E5A">
        <w:rPr>
          <w:sz w:val="24"/>
          <w:lang w:val="uk-UA"/>
        </w:rPr>
        <w:t>]</w:t>
      </w:r>
      <w:proofErr w:type="spellStart"/>
      <w:r w:rsidRPr="00847E5A">
        <w:rPr>
          <w:sz w:val="24"/>
          <w:lang w:val="uk-UA"/>
        </w:rPr>
        <w:t>ксант</w:t>
      </w:r>
      <w:r>
        <w:rPr>
          <w:sz w:val="24"/>
          <w:lang w:val="uk-UA"/>
        </w:rPr>
        <w:t>илієв</w:t>
      </w:r>
      <w:r w:rsidR="00134278">
        <w:rPr>
          <w:sz w:val="24"/>
          <w:lang w:val="uk-UA"/>
        </w:rPr>
        <w:t>их</w:t>
      </w:r>
      <w:proofErr w:type="spellEnd"/>
      <w:r>
        <w:rPr>
          <w:sz w:val="24"/>
          <w:lang w:val="uk-UA"/>
        </w:rPr>
        <w:t xml:space="preserve"> сол</w:t>
      </w:r>
      <w:r w:rsidR="00134278">
        <w:rPr>
          <w:sz w:val="24"/>
          <w:lang w:val="uk-UA"/>
        </w:rPr>
        <w:t>ей</w:t>
      </w:r>
      <w:r w:rsidR="000E413A">
        <w:rPr>
          <w:sz w:val="24"/>
          <w:lang w:val="uk-UA"/>
        </w:rPr>
        <w:t xml:space="preserve"> </w:t>
      </w:r>
      <w:r w:rsidR="000E413A">
        <w:rPr>
          <w:b/>
          <w:bCs/>
          <w:sz w:val="24"/>
          <w:lang w:val="uk-UA"/>
        </w:rPr>
        <w:t>2</w:t>
      </w:r>
      <w:r>
        <w:rPr>
          <w:sz w:val="24"/>
          <w:lang w:val="uk-UA"/>
        </w:rPr>
        <w:t xml:space="preserve"> не </w:t>
      </w:r>
      <w:r w:rsidR="00134278">
        <w:rPr>
          <w:sz w:val="24"/>
          <w:lang w:val="uk-UA"/>
        </w:rPr>
        <w:t xml:space="preserve">є </w:t>
      </w:r>
      <w:r>
        <w:rPr>
          <w:sz w:val="24"/>
          <w:lang w:val="uk-UA"/>
        </w:rPr>
        <w:t>принципово більшо</w:t>
      </w:r>
      <w:r w:rsidR="00134278">
        <w:rPr>
          <w:sz w:val="24"/>
          <w:lang w:val="uk-UA"/>
        </w:rPr>
        <w:t>ю</w:t>
      </w:r>
      <w:r>
        <w:rPr>
          <w:sz w:val="24"/>
          <w:lang w:val="uk-UA"/>
        </w:rPr>
        <w:t xml:space="preserve"> порівняно з аналогами без місткових етиленових груп. Водночас, синтезован</w:t>
      </w:r>
      <w:r w:rsidR="00134278">
        <w:rPr>
          <w:sz w:val="24"/>
          <w:lang w:val="uk-UA"/>
        </w:rPr>
        <w:t>і</w:t>
      </w:r>
      <w:r>
        <w:rPr>
          <w:sz w:val="24"/>
          <w:lang w:val="uk-UA"/>
        </w:rPr>
        <w:t xml:space="preserve"> катіонн</w:t>
      </w:r>
      <w:r w:rsidR="00134278">
        <w:rPr>
          <w:sz w:val="24"/>
          <w:lang w:val="uk-UA"/>
        </w:rPr>
        <w:t>і</w:t>
      </w:r>
      <w:r>
        <w:rPr>
          <w:sz w:val="24"/>
          <w:lang w:val="uk-UA"/>
        </w:rPr>
        <w:t xml:space="preserve"> поліметин</w:t>
      </w:r>
      <w:r w:rsidR="00134278">
        <w:rPr>
          <w:sz w:val="24"/>
          <w:lang w:val="uk-UA"/>
        </w:rPr>
        <w:t>и</w:t>
      </w:r>
      <w:r>
        <w:rPr>
          <w:sz w:val="24"/>
          <w:lang w:val="uk-UA"/>
        </w:rPr>
        <w:t xml:space="preserve"> </w:t>
      </w:r>
      <w:r w:rsidR="000E413A" w:rsidRPr="00BF1E8D">
        <w:rPr>
          <w:b/>
          <w:bCs/>
          <w:sz w:val="24"/>
          <w:lang w:val="uk-UA"/>
        </w:rPr>
        <w:t>3</w:t>
      </w:r>
      <w:r w:rsidR="00134278">
        <w:rPr>
          <w:sz w:val="24"/>
          <w:lang w:val="uk-UA"/>
        </w:rPr>
        <w:t xml:space="preserve">, а також несиметричні катіонні стирили </w:t>
      </w:r>
      <w:r w:rsidRPr="000E413A">
        <w:rPr>
          <w:sz w:val="24"/>
          <w:lang w:val="uk-UA"/>
        </w:rPr>
        <w:t>все</w:t>
      </w:r>
      <w:r>
        <w:rPr>
          <w:sz w:val="24"/>
          <w:lang w:val="uk-UA"/>
        </w:rPr>
        <w:t xml:space="preserve"> ж мають підвищену стабільність у полярних апротонних розчинниках, що виявляється зокрема в можливості реєстрації їхніх </w:t>
      </w:r>
      <w:r w:rsidR="002C4DC2" w:rsidRPr="00134278">
        <w:rPr>
          <w:sz w:val="24"/>
          <w:vertAlign w:val="superscript"/>
          <w:lang w:val="en-US"/>
        </w:rPr>
        <w:t>1</w:t>
      </w:r>
      <w:r w:rsidR="002C4DC2">
        <w:rPr>
          <w:sz w:val="24"/>
          <w:lang w:val="en-US"/>
        </w:rPr>
        <w:t xml:space="preserve">H </w:t>
      </w:r>
      <w:r w:rsidR="002C4DC2">
        <w:rPr>
          <w:sz w:val="24"/>
          <w:lang w:val="uk-UA"/>
        </w:rPr>
        <w:t xml:space="preserve">та </w:t>
      </w:r>
      <w:r w:rsidR="002C4DC2" w:rsidRPr="00134278">
        <w:rPr>
          <w:sz w:val="24"/>
          <w:vertAlign w:val="superscript"/>
          <w:lang w:val="uk-UA"/>
        </w:rPr>
        <w:t>13</w:t>
      </w:r>
      <w:r w:rsidR="002C4DC2">
        <w:rPr>
          <w:sz w:val="24"/>
          <w:lang w:val="uk-UA"/>
        </w:rPr>
        <w:t xml:space="preserve">С </w:t>
      </w:r>
      <w:r>
        <w:rPr>
          <w:sz w:val="24"/>
          <w:lang w:val="uk-UA"/>
        </w:rPr>
        <w:t>ЯМР</w:t>
      </w:r>
      <w:r w:rsidR="002C4DC2">
        <w:rPr>
          <w:sz w:val="24"/>
          <w:lang w:val="uk-UA"/>
        </w:rPr>
        <w:t>, а також</w:t>
      </w:r>
      <w:r>
        <w:rPr>
          <w:sz w:val="24"/>
          <w:lang w:val="uk-UA"/>
        </w:rPr>
        <w:t xml:space="preserve"> електронних спектрів</w:t>
      </w:r>
      <w:r w:rsidR="00134278">
        <w:rPr>
          <w:sz w:val="24"/>
          <w:lang w:val="uk-UA"/>
        </w:rPr>
        <w:t xml:space="preserve"> поглинання </w:t>
      </w:r>
      <w:r w:rsidR="00786B01">
        <w:rPr>
          <w:sz w:val="24"/>
          <w:lang w:val="uk-UA"/>
        </w:rPr>
        <w:t>та флуоресценції</w:t>
      </w:r>
      <w:r>
        <w:rPr>
          <w:sz w:val="24"/>
          <w:lang w:val="uk-UA"/>
        </w:rPr>
        <w:t xml:space="preserve"> у ДМСО.</w:t>
      </w:r>
    </w:p>
    <w:p w14:paraId="57F9ED82" w14:textId="0A4C98F1" w:rsidR="002C4DC2" w:rsidRDefault="00786B01" w:rsidP="002C4DC2">
      <w:pPr>
        <w:spacing w:before="60" w:after="60"/>
        <w:ind w:firstLine="0"/>
        <w:jc w:val="center"/>
        <w:rPr>
          <w:sz w:val="24"/>
          <w:lang w:val="uk-UA"/>
        </w:rPr>
      </w:pPr>
      <w:r>
        <w:rPr>
          <w:noProof/>
        </w:rPr>
        <w:drawing>
          <wp:inline distT="0" distB="0" distL="0" distR="0" wp14:anchorId="11A123FB" wp14:editId="75B20C05">
            <wp:extent cx="3657600" cy="2435846"/>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96957" cy="2462057"/>
                    </a:xfrm>
                    <a:prstGeom prst="rect">
                      <a:avLst/>
                    </a:prstGeom>
                    <a:noFill/>
                    <a:ln>
                      <a:noFill/>
                    </a:ln>
                  </pic:spPr>
                </pic:pic>
              </a:graphicData>
            </a:graphic>
          </wp:inline>
        </w:drawing>
      </w:r>
    </w:p>
    <w:p w14:paraId="1078D627" w14:textId="513580A5" w:rsidR="00E00448" w:rsidRPr="00E00448" w:rsidRDefault="001D39FE" w:rsidP="00442D04">
      <w:pPr>
        <w:ind w:firstLine="0"/>
        <w:rPr>
          <w:sz w:val="24"/>
          <w:lang w:val="uk-UA"/>
        </w:rPr>
      </w:pPr>
      <w:r>
        <w:rPr>
          <w:sz w:val="24"/>
          <w:lang w:val="en-US"/>
        </w:rPr>
        <w:t>[1]</w:t>
      </w:r>
      <w:r w:rsidRPr="001D39FE">
        <w:rPr>
          <w:noProof/>
          <w:sz w:val="24"/>
        </w:rPr>
        <w:t xml:space="preserve"> Munan, S.; Kottarathil, S.; Joseph, M. M.</w:t>
      </w:r>
      <w:r>
        <w:rPr>
          <w:noProof/>
          <w:sz w:val="24"/>
        </w:rPr>
        <w:t xml:space="preserve"> et al.</w:t>
      </w:r>
      <w:r w:rsidRPr="001D39FE">
        <w:rPr>
          <w:noProof/>
          <w:sz w:val="24"/>
        </w:rPr>
        <w:t xml:space="preserve"> IndiFluors: a new full-visible color-tunable donor-acceptor-donor (D</w:t>
      </w:r>
      <w:r w:rsidRPr="001D39FE">
        <w:rPr>
          <w:noProof/>
          <w:sz w:val="24"/>
          <w:vertAlign w:val="subscript"/>
        </w:rPr>
        <w:t>1</w:t>
      </w:r>
      <w:r w:rsidRPr="001D39FE">
        <w:rPr>
          <w:noProof/>
          <w:sz w:val="24"/>
        </w:rPr>
        <w:t>-A-D</w:t>
      </w:r>
      <w:r w:rsidRPr="001D39FE">
        <w:rPr>
          <w:noProof/>
          <w:sz w:val="24"/>
          <w:vertAlign w:val="subscript"/>
        </w:rPr>
        <w:t>2</w:t>
      </w:r>
      <w:r w:rsidRPr="001D39FE">
        <w:rPr>
          <w:noProof/>
          <w:sz w:val="24"/>
        </w:rPr>
        <w:t xml:space="preserve">) fluorophore family for ratiometric pH imaging during mitophagy. </w:t>
      </w:r>
      <w:r w:rsidRPr="001D39FE">
        <w:rPr>
          <w:i/>
          <w:iCs/>
          <w:noProof/>
          <w:sz w:val="24"/>
        </w:rPr>
        <w:t>ACS Sensors</w:t>
      </w:r>
      <w:r w:rsidRPr="001D39FE">
        <w:rPr>
          <w:noProof/>
          <w:sz w:val="24"/>
        </w:rPr>
        <w:t xml:space="preserve"> </w:t>
      </w:r>
      <w:r w:rsidRPr="001D39FE">
        <w:rPr>
          <w:b/>
          <w:bCs/>
          <w:noProof/>
          <w:sz w:val="24"/>
        </w:rPr>
        <w:t>2021</w:t>
      </w:r>
      <w:r w:rsidRPr="001D39FE">
        <w:rPr>
          <w:noProof/>
          <w:sz w:val="24"/>
        </w:rPr>
        <w:t xml:space="preserve">, </w:t>
      </w:r>
      <w:r w:rsidRPr="001D39FE">
        <w:rPr>
          <w:i/>
          <w:iCs/>
          <w:noProof/>
          <w:sz w:val="24"/>
        </w:rPr>
        <w:t>9</w:t>
      </w:r>
      <w:r w:rsidRPr="001D39FE">
        <w:rPr>
          <w:noProof/>
          <w:sz w:val="24"/>
        </w:rPr>
        <w:t xml:space="preserve"> (7), 3502–3510.</w:t>
      </w:r>
    </w:p>
    <w:sectPr w:rsidR="00E00448" w:rsidRPr="00E00448" w:rsidSect="00EB40CE">
      <w:pgSz w:w="11907" w:h="16840" w:code="9"/>
      <w:pgMar w:top="1418" w:right="1418" w:bottom="1418" w:left="1418" w:header="709" w:footer="709" w:gutter="0"/>
      <w:cols w:space="709"/>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B3"/>
    <w:rsid w:val="0001063C"/>
    <w:rsid w:val="00050F5A"/>
    <w:rsid w:val="0005157B"/>
    <w:rsid w:val="00090EB3"/>
    <w:rsid w:val="000E413A"/>
    <w:rsid w:val="00102000"/>
    <w:rsid w:val="00113A73"/>
    <w:rsid w:val="00117DCA"/>
    <w:rsid w:val="00133809"/>
    <w:rsid w:val="00134278"/>
    <w:rsid w:val="00137420"/>
    <w:rsid w:val="001707E0"/>
    <w:rsid w:val="001805BF"/>
    <w:rsid w:val="001D39FE"/>
    <w:rsid w:val="002511A9"/>
    <w:rsid w:val="00257D62"/>
    <w:rsid w:val="002A26E5"/>
    <w:rsid w:val="002A4227"/>
    <w:rsid w:val="002C4DC2"/>
    <w:rsid w:val="002D52B6"/>
    <w:rsid w:val="00316F61"/>
    <w:rsid w:val="00384365"/>
    <w:rsid w:val="00393F08"/>
    <w:rsid w:val="00421BDC"/>
    <w:rsid w:val="00442D04"/>
    <w:rsid w:val="0048757B"/>
    <w:rsid w:val="004B6A4B"/>
    <w:rsid w:val="004F45A3"/>
    <w:rsid w:val="00504642"/>
    <w:rsid w:val="006263B5"/>
    <w:rsid w:val="006653EC"/>
    <w:rsid w:val="006D456B"/>
    <w:rsid w:val="00766116"/>
    <w:rsid w:val="00786B01"/>
    <w:rsid w:val="007A0EBE"/>
    <w:rsid w:val="007B0234"/>
    <w:rsid w:val="00812EB1"/>
    <w:rsid w:val="00820A95"/>
    <w:rsid w:val="00827981"/>
    <w:rsid w:val="008377F0"/>
    <w:rsid w:val="00842141"/>
    <w:rsid w:val="00847E5A"/>
    <w:rsid w:val="008C1889"/>
    <w:rsid w:val="008E67B4"/>
    <w:rsid w:val="008F3B73"/>
    <w:rsid w:val="00957CD1"/>
    <w:rsid w:val="00A41EA2"/>
    <w:rsid w:val="00A879D9"/>
    <w:rsid w:val="00AA6F4D"/>
    <w:rsid w:val="00AC4E75"/>
    <w:rsid w:val="00AE558E"/>
    <w:rsid w:val="00B13C7F"/>
    <w:rsid w:val="00B91A1A"/>
    <w:rsid w:val="00B95270"/>
    <w:rsid w:val="00BA543C"/>
    <w:rsid w:val="00BF1E8D"/>
    <w:rsid w:val="00C258DE"/>
    <w:rsid w:val="00C37824"/>
    <w:rsid w:val="00C43A43"/>
    <w:rsid w:val="00C63A0F"/>
    <w:rsid w:val="00CB40FA"/>
    <w:rsid w:val="00CB6F34"/>
    <w:rsid w:val="00DA67CA"/>
    <w:rsid w:val="00DD6F5A"/>
    <w:rsid w:val="00DE66F4"/>
    <w:rsid w:val="00E00448"/>
    <w:rsid w:val="00E317FD"/>
    <w:rsid w:val="00E711E1"/>
    <w:rsid w:val="00EB40CE"/>
    <w:rsid w:val="00ED4AD9"/>
    <w:rsid w:val="00EF5A99"/>
    <w:rsid w:val="00F43A7E"/>
    <w:rsid w:val="00F4527D"/>
    <w:rsid w:val="00F72EB6"/>
    <w:rsid w:val="00F74C77"/>
    <w:rsid w:val="00F91D7B"/>
    <w:rsid w:val="00FC4E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FC827"/>
  <w15:chartTrackingRefBased/>
  <w15:docId w15:val="{E678135C-708A-4451-A1CD-5A56D0B3B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0EB3"/>
    <w:pPr>
      <w:autoSpaceDE w:val="0"/>
      <w:autoSpaceDN w:val="0"/>
      <w:spacing w:after="0" w:line="240" w:lineRule="auto"/>
      <w:ind w:firstLine="284"/>
      <w:jc w:val="both"/>
    </w:pPr>
    <w:rPr>
      <w:rFonts w:ascii="Times New Roman" w:eastAsia="Times New Roman" w:hAnsi="Times New Roman" w:cs="Times New Roman"/>
      <w:kern w:val="0"/>
      <w:sz w:val="20"/>
      <w:szCs w:val="24"/>
      <w:lang w:val="en-GB" w:eastAsia="en-GB"/>
      <w14:ligatures w14:val="none"/>
    </w:rPr>
  </w:style>
  <w:style w:type="paragraph" w:styleId="1">
    <w:name w:val="heading 1"/>
    <w:basedOn w:val="a"/>
    <w:next w:val="Authors"/>
    <w:link w:val="10"/>
    <w:qFormat/>
    <w:rsid w:val="001D39FE"/>
    <w:pPr>
      <w:keepNext/>
      <w:spacing w:before="240" w:after="120"/>
      <w:ind w:firstLine="0"/>
      <w:jc w:val="left"/>
      <w:outlineLvl w:val="0"/>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uthors">
    <w:name w:val="Authors"/>
    <w:basedOn w:val="a"/>
    <w:autoRedefine/>
    <w:rsid w:val="00090EB3"/>
    <w:pPr>
      <w:ind w:firstLine="0"/>
      <w:jc w:val="center"/>
    </w:pPr>
    <w:rPr>
      <w:bCs/>
      <w:i/>
      <w:sz w:val="28"/>
      <w:szCs w:val="28"/>
      <w:lang w:val="uk-UA"/>
    </w:rPr>
  </w:style>
  <w:style w:type="character" w:styleId="a3">
    <w:name w:val="Hyperlink"/>
    <w:rsid w:val="00090EB3"/>
    <w:rPr>
      <w:color w:val="0000FF"/>
      <w:u w:val="single"/>
    </w:rPr>
  </w:style>
  <w:style w:type="character" w:styleId="a4">
    <w:name w:val="Unresolved Mention"/>
    <w:basedOn w:val="a0"/>
    <w:uiPriority w:val="99"/>
    <w:semiHidden/>
    <w:unhideWhenUsed/>
    <w:rsid w:val="00F91D7B"/>
    <w:rPr>
      <w:color w:val="605E5C"/>
      <w:shd w:val="clear" w:color="auto" w:fill="E1DFDD"/>
    </w:rPr>
  </w:style>
  <w:style w:type="character" w:styleId="a5">
    <w:name w:val="Placeholder Text"/>
    <w:basedOn w:val="a0"/>
    <w:uiPriority w:val="99"/>
    <w:semiHidden/>
    <w:rsid w:val="00B91A1A"/>
    <w:rPr>
      <w:color w:val="666666"/>
    </w:rPr>
  </w:style>
  <w:style w:type="character" w:customStyle="1" w:styleId="10">
    <w:name w:val="Заголовок 1 Знак"/>
    <w:basedOn w:val="a0"/>
    <w:link w:val="1"/>
    <w:rsid w:val="001D39FE"/>
    <w:rPr>
      <w:rFonts w:ascii="Times New Roman" w:eastAsia="Times New Roman" w:hAnsi="Times New Roman" w:cs="Times New Roman"/>
      <w:b/>
      <w:bCs/>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11085">
      <w:bodyDiv w:val="1"/>
      <w:marLeft w:val="0"/>
      <w:marRight w:val="0"/>
      <w:marTop w:val="0"/>
      <w:marBottom w:val="0"/>
      <w:divBdr>
        <w:top w:val="none" w:sz="0" w:space="0" w:color="auto"/>
        <w:left w:val="none" w:sz="0" w:space="0" w:color="auto"/>
        <w:bottom w:val="none" w:sz="0" w:space="0" w:color="auto"/>
        <w:right w:val="none" w:sz="0" w:space="0" w:color="auto"/>
      </w:divBdr>
    </w:div>
    <w:div w:id="1636374662">
      <w:marLeft w:val="640"/>
      <w:marRight w:val="0"/>
      <w:marTop w:val="0"/>
      <w:marBottom w:val="0"/>
      <w:divBdr>
        <w:top w:val="none" w:sz="0" w:space="0" w:color="auto"/>
        <w:left w:val="none" w:sz="0" w:space="0" w:color="auto"/>
        <w:bottom w:val="none" w:sz="0" w:space="0" w:color="auto"/>
        <w:right w:val="none" w:sz="0" w:space="0" w:color="auto"/>
      </w:divBdr>
    </w:div>
    <w:div w:id="1921478521">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hyperlink" Target="mailto:babiyigor2004@knu.ua"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wmf"/><Relationship Id="rId4" Type="http://schemas.openxmlformats.org/officeDocument/2006/relationships/styles" Target="style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5F5800-D720-4D61-ADC3-4CB44F6A10E7}">
  <we:reference id="wa104382081" version="1.55.1.0" store="uk-UA" storeType="OMEX"/>
  <we:alternateReferences>
    <we:reference id="wa104382081" version="1.55.1.0" store="wa104382081" storeType="OMEX"/>
  </we:alternateReferences>
  <we:properties>
    <we:property name="MENDELEY_BIBLIOGRAPHY_IS_DIRTY" value="false"/>
    <we:property name="MENDELEY_BIBLIOGRAPHY_LAST_MODIFIED" value="1777215547771"/>
    <we:property name="MENDELEY_CITATIONS" value="[{&quot;citationID&quot;:&quot;MENDELEY_CITATION_f5e4ef69-0644-4695-9e4b-54be67fc4653&quot;,&quot;properties&quot;:{&quot;noteIndex&quot;:0},&quot;isEdited&quot;:false,&quot;manualOverride&quot;:{&quot;isManuallyOverridden&quot;:false,&quot;citeprocText&quot;:&quot;[1]&quot;,&quot;manualOverrideText&quot;:&quot;&quot;},&quot;citationTag&quot;:&quot;MENDELEY_CITATION_v3_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&quot;,&quot;citationItems&quot;:[{&quot;id&quot;:&quot;bebed142-b65a-3a63-8813-1d1492df36e2&quot;,&quot;itemData&quot;:{&quot;type&quot;:&quot;article-journal&quot;,&quot;id&quot;:&quot;bebed142-b65a-3a63-8813-1d1492df36e2&quot;,&quot;title&quot;:&quot;IndiFluors: A New Full-Visible Color-Tunable Donor-Acceptor-Donor (D1-A-D2) Fluorophore Family for Ratiometric pH Imaging during Mitophagy&quot;,&quot;author&quot;:[{&quot;family&quot;:&quot;Munan&quot;,&quot;given&quot;:&quot;Subrata&quot;,&quot;parse-names&quot;:false,&quot;dropping-particle&quot;:&quot;&quot;,&quot;non-dropping-particle&quot;:&quot;&quot;},{&quot;family&quot;:&quot;Kottarathil&quot;,&quot;given&quot;:&quot;Shamna&quot;,&quot;parse-names&quot;:false,&quot;dropping-particle&quot;:&quot;&quot;,&quot;non-dropping-particle&quot;:&quot;&quot;},{&quot;family&quot;:&quot;Joseph&quot;,&quot;given&quot;:&quot;Manu M.&quot;,&quot;parse-names&quot;:false,&quot;dropping-particle&quot;:&quot;&quot;,&quot;non-dropping-particle&quot;:&quot;&quot;},{&quot;family&quot;:&quot;Jana&quot;,&quot;given&quot;:&quot;Anal&quot;,&quot;parse-names&quot;:false,&quot;dropping-particle&quot;:&quot;&quot;,&quot;non-dropping-particle&quot;:&quot;&quot;},{&quot;family&quot;:&quot;Ali&quot;,&quot;given&quot;:&quot;Mudassar&quot;,&quot;parse-names&quot;:false,&quot;dropping-particle&quot;:&quot;&quot;,&quot;non-dropping-particle&quot;:&quot;&quot;},{&quot;family&quot;:&quot;Mapa&quot;,&quot;given&quot;:&quot;Koyeli&quot;,&quot;parse-names&quot;:false,&quot;dropping-particle&quot;:&quot;&quot;,&quot;non-dropping-particle&quot;:&quot;&quot;},{&quot;family&quot;:&quot;Maiti&quot;,&quot;given&quot;:&quot;Kaustabh Kumar&quot;,&quot;parse-names&quot;:false,&quot;dropping-particle&quot;:&quot;&quot;,&quot;non-dropping-particle&quot;:&quot;&quot;},{&quot;family&quot;:&quot;Samanta&quot;,&quot;given&quot;:&quot;Animesh&quot;,&quot;parse-names&quot;:false,&quot;dropping-particle&quot;:&quot;&quot;,&quot;non-dropping-particle&quot;:&quot;&quot;}],&quot;container-title&quot;:&quot;ACS Sensors&quot;,&quot;DOI&quot;:&quot;10.1021/acssensors.1c02381&quot;,&quot;ISSN&quot;:&quot;23793694&quot;,&quot;PMID&quot;:&quot;35113517&quot;,&quot;issued&quot;:{&quot;date-parts&quot;:[[2024,7,26]]},&quot;page&quot;:&quot;3502-3510&quot;,&quot;abstract&quot;:&quot;Full-visible color-tunable new fluorophores are essential in bioimaging research. However, it is significantly challenging to design fluorophores with the desired optical and biological properties owing to their structural complexity. We report a unified design of an interesting molecular framework, IndiFluors, based on the principle of a donor-acceptor-donor (D1-A-D2) system. The IndiFluors comprise pyrylium, pyridinium, and pyridine derivatives, which exhibit full-visible emission color (375-700 nm) by varying donor and acceptor strengths of the core scaffolds. With a minimal change of structure, the bright fluorophores (Φ: 0.96) can be tuned to become nonfluorescent (Φ: 0.01), which is well explained by time-dependent density functional theory (TD-DFT/PCM) by oscillator strengths in the S1 state. Within IndiFluors, pyridinium offers several advantages, including a large Stokes shift (∼154 nm) and excellent stability, compared to pentacyclic pyrylium fluorophores. Especially, the designed probe, PM-Mito-OH, demonstrated specific colocalization in mitochondria and a monitored ratiometric pH change during mitochondrial damage, autolysosomes, and the mitophagy process. Hence, IndiFluors and the derived probe show great potential for cellular pH imaging in live cells while exhibiting minimal cytotoxicity.&quot;,&quot;publisher&quot;:&quot;American Chemical Society&quot;,&quot;issue&quot;:&quot;7&quot;,&quot;volume&quot;:&quot;9&quot;,&quot;container-title-short&quot;:&quot;&quot;},&quot;isTemporary&quot;:false}]}]"/>
    <we:property name="MENDELEY_CITATIONS_LOCALE_CODE" value="&quot;en-US&quot;"/>
    <we:property name="MENDELEY_CITATIONS_STYLE" value="{&quot;id&quot;:&quot;https://www.zotero.org/styles/inorganic-chemistry-communications&quot;,&quot;title&quot;:&quot;Inorganic Chemistry Communications&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CAB3ECC7FA99542A17E7687D7B5432B" ma:contentTypeVersion="16" ma:contentTypeDescription="Create a new document." ma:contentTypeScope="" ma:versionID="b9d447c7242d9f772b9697b4bc4d1948">
  <xsd:schema xmlns:xsd="http://www.w3.org/2001/XMLSchema" xmlns:xs="http://www.w3.org/2001/XMLSchema" xmlns:p="http://schemas.microsoft.com/office/2006/metadata/properties" xmlns:ns3="181df659-de05-432f-bd19-760eaef89a14" xmlns:ns4="e1c7f05a-8e11-4e8d-b93a-84330e9e64df" targetNamespace="http://schemas.microsoft.com/office/2006/metadata/properties" ma:root="true" ma:fieldsID="ae48b32b7dda3738db79b0b7002d44d9" ns3:_="" ns4:_="">
    <xsd:import namespace="181df659-de05-432f-bd19-760eaef89a14"/>
    <xsd:import namespace="e1c7f05a-8e11-4e8d-b93a-84330e9e64df"/>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1df659-de05-432f-bd19-760eaef89a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description=""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c7f05a-8e11-4e8d-b93a-84330e9e64d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5530E4-5657-4CE6-AAAF-DADDC29B8950}">
  <ds:schemaRefs>
    <ds:schemaRef ds:uri="http://schemas.openxmlformats.org/officeDocument/2006/bibliography"/>
  </ds:schemaRefs>
</ds:datastoreItem>
</file>

<file path=customXml/itemProps2.xml><?xml version="1.0" encoding="utf-8"?>
<ds:datastoreItem xmlns:ds="http://schemas.openxmlformats.org/officeDocument/2006/customXml" ds:itemID="{C90680EB-C2AB-4A6A-A692-667C852EB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1df659-de05-432f-bd19-760eaef89a14"/>
    <ds:schemaRef ds:uri="e1c7f05a-8e11-4e8d-b93a-84330e9e64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D93EF3-DF6F-4A6A-91A2-5F577A835D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2253</TotalTime>
  <Pages>1</Pages>
  <Words>251</Words>
  <Characters>1674</Characters>
  <Application>Microsoft Office Word</Application>
  <DocSecurity>0</DocSecurity>
  <Lines>31</Lines>
  <Paragraphs>9</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Kostiantyn Melnykov</dc:creator>
  <cp:keywords/>
  <dc:description/>
  <cp:lastModifiedBy>Ihor Babii</cp:lastModifiedBy>
  <cp:revision>49</cp:revision>
  <cp:lastPrinted>2024-06-21T07:50:00Z</cp:lastPrinted>
  <dcterms:created xsi:type="dcterms:W3CDTF">2024-04-21T20:18:00Z</dcterms:created>
  <dcterms:modified xsi:type="dcterms:W3CDTF">2026-04-27T19:13:00Z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0x010100ACAB3ECC7FA99542A17E7687D7B5432B</vt:lpwstr>
  </property>
  <property fmtid="{D5CDD505-2E9C-101B-9397-08002B2CF9AE}" pid="3" name="_activity">
    <vt:lpwstr/>
  </property>
  <property fmtid="{D5CDD505-2E9C-101B-9397-08002B2CF9AE}" pid="4" name="Mendeley Recent Style Id 0_1">
    <vt:lpwstr>http://csl.mendeley.com/styles/495119231/american-chemical-society-2</vt:lpwstr>
  </property>
  <property fmtid="{D5CDD505-2E9C-101B-9397-08002B2CF9AE}" pid="5" name="Mendeley Recent Style Name 0_1">
    <vt:lpwstr>American Chemical Society - Andrii Kulinich</vt:lpwstr>
  </property>
  <property fmtid="{D5CDD505-2E9C-101B-9397-08002B2CF9AE}" pid="6" name="Mendeley Recent Style Id 1_1">
    <vt:lpwstr>http://csl.mendeley.com/styles/495119231/ACS-no-issue-number</vt:lpwstr>
  </property>
  <property fmtid="{D5CDD505-2E9C-101B-9397-08002B2CF9AE}" pid="7" name="Mendeley Recent Style Name 1_1">
    <vt:lpwstr>American Chemical Society - Andrii Kulinich</vt:lpwstr>
  </property>
  <property fmtid="{D5CDD505-2E9C-101B-9397-08002B2CF9AE}" pid="8" name="Mendeley Recent Style Id 2_1">
    <vt:lpwstr>http://www.zotero.org/styles/american-sociological-association</vt:lpwstr>
  </property>
  <property fmtid="{D5CDD505-2E9C-101B-9397-08002B2CF9AE}" pid="9" name="Mendeley Recent Style Name 2_1">
    <vt:lpwstr>American Sociological Association 6th edition</vt:lpwstr>
  </property>
  <property fmtid="{D5CDD505-2E9C-101B-9397-08002B2CF9AE}" pid="10" name="Mendeley Recent Style Id 3_1">
    <vt:lpwstr>http://www.zotero.org/styles/angewandte-chemie</vt:lpwstr>
  </property>
  <property fmtid="{D5CDD505-2E9C-101B-9397-08002B2CF9AE}" pid="11" name="Mendeley Recent Style Name 3_1">
    <vt:lpwstr>Angewandte Chemie International Edition</vt:lpwstr>
  </property>
  <property fmtid="{D5CDD505-2E9C-101B-9397-08002B2CF9AE}" pid="12" name="Mendeley Recent Style Id 4_1">
    <vt:lpwstr>http://www.zotero.org/styles/animal-migration</vt:lpwstr>
  </property>
  <property fmtid="{D5CDD505-2E9C-101B-9397-08002B2CF9AE}" pid="13" name="Mendeley Recent Style Name 4_1">
    <vt:lpwstr>Animal Migration</vt:lpwstr>
  </property>
  <property fmtid="{D5CDD505-2E9C-101B-9397-08002B2CF9AE}" pid="14" name="Mendeley Recent Style Id 5_1">
    <vt:lpwstr>http://www.zotero.org/styles/dstu-gost-7-1-2006</vt:lpwstr>
  </property>
  <property fmtid="{D5CDD505-2E9C-101B-9397-08002B2CF9AE}" pid="15" name="Mendeley Recent Style Name 5_1">
    <vt:lpwstr>DSTU GOST 7.1:2006</vt:lpwstr>
  </property>
  <property fmtid="{D5CDD505-2E9C-101B-9397-08002B2CF9AE}" pid="16" name="Mendeley Recent Style Id 6_1">
    <vt:lpwstr>http://www.zotero.org/styles/elsevier-with-titles</vt:lpwstr>
  </property>
  <property fmtid="{D5CDD505-2E9C-101B-9397-08002B2CF9AE}" pid="17" name="Mendeley Recent Style Name 6_1">
    <vt:lpwstr>Elsevier (numeric, with titles)</vt:lpwstr>
  </property>
  <property fmtid="{D5CDD505-2E9C-101B-9397-08002B2CF9AE}" pid="18" name="Mendeley Recent Style Id 7_1">
    <vt:lpwstr>http://www.zotero.org/styles/journal-of-the-american-chemical-society</vt:lpwstr>
  </property>
  <property fmtid="{D5CDD505-2E9C-101B-9397-08002B2CF9AE}" pid="19" name="Mendeley Recent Style Name 7_1">
    <vt:lpwstr>Journal of the American Chemical Society</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http://www.zotero.org/styles/vancouver</vt:lpwstr>
  </property>
  <property fmtid="{D5CDD505-2E9C-101B-9397-08002B2CF9AE}" pid="23" name="Mendeley Recent Style Name 9_1">
    <vt:lpwstr>Vancouver</vt:lpwstr>
  </property>
  <property fmtid="{D5CDD505-2E9C-101B-9397-08002B2CF9AE}" pid="24" name="Mendeley Document_1">
    <vt:lpwstr>True</vt:lpwstr>
  </property>
  <property fmtid="{D5CDD505-2E9C-101B-9397-08002B2CF9AE}" pid="25" name="Mendeley Unique User Id_1">
    <vt:lpwstr>38abbe7b-1c13-3582-b701-b9c4d368ac83</vt:lpwstr>
  </property>
  <property fmtid="{D5CDD505-2E9C-101B-9397-08002B2CF9AE}" pid="26" name="Mendeley Citation Style_1">
    <vt:lpwstr>http://www.zotero.org/styles/journal-of-the-american-chemical-society</vt:lpwstr>
  </property>
</Properties>
</file>